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metadata/core-properties" Target="docProps/core0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229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1932"/>
        <w:gridCol w:w="2625"/>
        <w:gridCol w:w="2264"/>
        <w:gridCol w:w="2605"/>
        <w:gridCol w:w="2230"/>
        <w:gridCol w:w="2573"/>
      </w:tblGrid>
      <w:tr w:rsidR="00406509" w14:paraId="00D1AE11" w14:textId="77777777">
        <w:tc>
          <w:tcPr>
            <w:tcW w:w="14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2BBC7" w14:textId="77777777" w:rsidR="00406509" w:rsidRDefault="00550055">
            <w:pPr>
              <w:pStyle w:val="normal1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 xml:space="preserve">EDUKACJA OBYWATELSKA ROK SZKOLNY 2025/2026 </w:t>
            </w:r>
          </w:p>
          <w:p w14:paraId="547AA9D2" w14:textId="77777777" w:rsidR="00406509" w:rsidRDefault="00550055">
            <w:pPr>
              <w:pStyle w:val="normal1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WYMAGANIA  NA</w:t>
            </w:r>
            <w:proofErr w:type="gramEnd"/>
            <w:r>
              <w:rPr>
                <w:b/>
              </w:rPr>
              <w:t xml:space="preserve"> POSZCZEGÓLNE OCENY – szkoła branżowa I stopnia cz. 1 (klasa 2)</w:t>
            </w:r>
          </w:p>
        </w:tc>
      </w:tr>
      <w:tr w:rsidR="00406509" w14:paraId="4F6125AD" w14:textId="77777777">
        <w:tc>
          <w:tcPr>
            <w:tcW w:w="193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F6E50" w14:textId="77777777" w:rsidR="00406509" w:rsidRDefault="00550055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Wymagania edukacyjne z podstawy programowej</w:t>
            </w:r>
          </w:p>
          <w:p w14:paraId="7607A603" w14:textId="77777777" w:rsidR="00406509" w:rsidRDefault="00406509">
            <w:pPr>
              <w:pStyle w:val="normal1"/>
              <w:rPr>
                <w:rFonts w:ascii="Times New Roman" w:hAnsi="Times New Roman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8BA37" w14:textId="77777777" w:rsidR="00406509" w:rsidRDefault="00550055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Wymagania na</w:t>
            </w:r>
          </w:p>
          <w:p w14:paraId="188C8841" w14:textId="77777777" w:rsidR="00406509" w:rsidRDefault="00550055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ocenę dopuszczającą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3E8E6" w14:textId="77777777" w:rsidR="00406509" w:rsidRDefault="00550055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Wymagania na</w:t>
            </w:r>
          </w:p>
          <w:p w14:paraId="481A9DBD" w14:textId="77777777" w:rsidR="00406509" w:rsidRDefault="00550055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ocenę dostateczną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241DD" w14:textId="77777777" w:rsidR="00406509" w:rsidRDefault="00550055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Wymagania na</w:t>
            </w:r>
          </w:p>
          <w:p w14:paraId="7D458BD4" w14:textId="77777777" w:rsidR="00406509" w:rsidRDefault="00550055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ocenę </w:t>
            </w:r>
            <w:r>
              <w:rPr>
                <w:rFonts w:ascii="Times New Roman" w:hAnsi="Times New Roman"/>
                <w:b/>
              </w:rPr>
              <w:t>dobrą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24E55" w14:textId="77777777" w:rsidR="00406509" w:rsidRDefault="00550055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Wymagania na</w:t>
            </w:r>
          </w:p>
          <w:p w14:paraId="0953F8B6" w14:textId="77777777" w:rsidR="00406509" w:rsidRDefault="00550055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ocenę bardzo dobrą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90BE5" w14:textId="77777777" w:rsidR="00406509" w:rsidRDefault="00550055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Wymagania na</w:t>
            </w:r>
          </w:p>
          <w:p w14:paraId="3FCA4FB8" w14:textId="77777777" w:rsidR="00406509" w:rsidRDefault="00550055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ocenę celującą</w:t>
            </w:r>
          </w:p>
        </w:tc>
      </w:tr>
      <w:tr w:rsidR="00406509" w14:paraId="2914D19C" w14:textId="77777777"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F43E6" w14:textId="77777777" w:rsidR="00406509" w:rsidRDefault="00406509">
            <w:pPr>
              <w:pStyle w:val="normal1"/>
              <w:widowControl w:val="0"/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CB787" w14:textId="77777777" w:rsidR="00406509" w:rsidRDefault="00550055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Uczeń potrafi: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9A23E" w14:textId="77777777" w:rsidR="00406509" w:rsidRDefault="00550055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Uczeń potrafi to, co na ocenę </w:t>
            </w:r>
            <w:proofErr w:type="gramStart"/>
            <w:r>
              <w:rPr>
                <w:rFonts w:ascii="Times New Roman" w:hAnsi="Times New Roman"/>
                <w:b/>
              </w:rPr>
              <w:t>dopuszczającą,</w:t>
            </w:r>
            <w:proofErr w:type="gramEnd"/>
            <w:r>
              <w:rPr>
                <w:rFonts w:ascii="Times New Roman" w:hAnsi="Times New Roman"/>
                <w:b/>
              </w:rPr>
              <w:t xml:space="preserve"> oraz: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1E317" w14:textId="77777777" w:rsidR="00406509" w:rsidRDefault="00550055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Uczeń potrafi to, co na ocenę </w:t>
            </w:r>
            <w:proofErr w:type="gramStart"/>
            <w:r>
              <w:rPr>
                <w:rFonts w:ascii="Times New Roman" w:hAnsi="Times New Roman"/>
                <w:b/>
              </w:rPr>
              <w:t>dostateczną,</w:t>
            </w:r>
            <w:proofErr w:type="gramEnd"/>
            <w:r>
              <w:rPr>
                <w:rFonts w:ascii="Times New Roman" w:hAnsi="Times New Roman"/>
                <w:b/>
              </w:rPr>
              <w:t xml:space="preserve"> oraz: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1B688" w14:textId="77777777" w:rsidR="00406509" w:rsidRDefault="00550055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Uczeń potrafi to, co na ocenę </w:t>
            </w:r>
            <w:proofErr w:type="gramStart"/>
            <w:r>
              <w:rPr>
                <w:rFonts w:ascii="Times New Roman" w:hAnsi="Times New Roman"/>
                <w:b/>
              </w:rPr>
              <w:t>dobrą,</w:t>
            </w:r>
            <w:proofErr w:type="gramEnd"/>
            <w:r>
              <w:rPr>
                <w:rFonts w:ascii="Times New Roman" w:hAnsi="Times New Roman"/>
                <w:b/>
              </w:rPr>
              <w:t xml:space="preserve"> oraz: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45CB1" w14:textId="77777777" w:rsidR="00406509" w:rsidRDefault="00550055">
            <w:pPr>
              <w:pStyle w:val="normal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Uczeń: potrafi to, co na ocenę</w:t>
            </w:r>
            <w:r>
              <w:rPr>
                <w:rFonts w:ascii="Times New Roman" w:hAnsi="Times New Roman"/>
                <w:b/>
              </w:rPr>
              <w:t xml:space="preserve"> bardzo </w:t>
            </w:r>
            <w:proofErr w:type="gramStart"/>
            <w:r>
              <w:rPr>
                <w:rFonts w:ascii="Times New Roman" w:hAnsi="Times New Roman"/>
                <w:b/>
              </w:rPr>
              <w:t>dobrą,</w:t>
            </w:r>
            <w:proofErr w:type="gramEnd"/>
            <w:r>
              <w:rPr>
                <w:rFonts w:ascii="Times New Roman" w:hAnsi="Times New Roman"/>
                <w:b/>
              </w:rPr>
              <w:t xml:space="preserve"> oraz:</w:t>
            </w:r>
          </w:p>
        </w:tc>
      </w:tr>
      <w:tr w:rsidR="00406509" w14:paraId="66CF9B28" w14:textId="77777777">
        <w:tc>
          <w:tcPr>
            <w:tcW w:w="1422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A2950" w14:textId="77777777" w:rsidR="00406509" w:rsidRDefault="00550055">
            <w:pPr>
              <w:pStyle w:val="normal1"/>
              <w:widowControl w:val="0"/>
              <w:spacing w:after="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I.  JA I SPOŁECZEŃSTWO</w:t>
            </w:r>
          </w:p>
        </w:tc>
      </w:tr>
      <w:tr w:rsidR="00406509" w14:paraId="7B18DBA2" w14:textId="77777777">
        <w:trPr>
          <w:trHeight w:val="1460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0371B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1. Nasze ważne wspólnoty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EDE0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-BoldMT" w:hAnsi="TimesNewRomanPS-BoldMT"/>
                <w:b/>
                <w:sz w:val="18"/>
              </w:rPr>
              <w:t xml:space="preserve"> </w:t>
            </w: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>identyfikuje elementy tworzące państwo</w:t>
            </w:r>
          </w:p>
          <w:p w14:paraId="3528768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wyjaśnia, czym jest patriotyzm</w:t>
            </w:r>
          </w:p>
          <w:p w14:paraId="6C570309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podaje przykłady postaw</w:t>
            </w:r>
          </w:p>
          <w:p w14:paraId="611C57B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obywatelskich</w:t>
            </w:r>
          </w:p>
          <w:p w14:paraId="175F0E62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790D5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proofErr w:type="gramStart"/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 wskazuje</w:t>
            </w:r>
            <w:proofErr w:type="gramEnd"/>
            <w:r>
              <w:rPr>
                <w:rFonts w:ascii="TimesNewRomanPSMT" w:hAnsi="TimesNewRomanPSMT"/>
                <w:sz w:val="18"/>
              </w:rPr>
              <w:t xml:space="preserve"> różne formy troski o Ojczyznę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BFCF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porównuje przykłady postaw</w:t>
            </w:r>
          </w:p>
          <w:p w14:paraId="756380EA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obywatelskich w przeszłości</w:t>
            </w:r>
          </w:p>
          <w:p w14:paraId="0555894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i obecnie</w:t>
            </w:r>
          </w:p>
          <w:p w14:paraId="3D7FEF9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podaje przykład patriotyzmu</w:t>
            </w:r>
          </w:p>
          <w:p w14:paraId="701821D0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ekonomicznego</w:t>
            </w:r>
          </w:p>
          <w:p w14:paraId="68D6293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wskazuje pierwotne sposoby uzyskania obywatelstwa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7F82C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- podaje przykłady różnych aspektów patriotyzmu</w:t>
            </w:r>
          </w:p>
          <w:p w14:paraId="15F89DFB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- wskazuje pochodne sposoby uzyskania obywatelstwa</w:t>
            </w:r>
          </w:p>
          <w:p w14:paraId="7DD17288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3CF2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na wybranych </w:t>
            </w:r>
            <w:r>
              <w:rPr>
                <w:rFonts w:ascii="TimesNewRomanPSMT" w:hAnsi="TimesNewRomanPSMT"/>
                <w:sz w:val="18"/>
              </w:rPr>
              <w:t>przykładach</w:t>
            </w:r>
          </w:p>
          <w:p w14:paraId="63CE0B6A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wskazuje przykłady identyfikacji</w:t>
            </w:r>
          </w:p>
          <w:p w14:paraId="7298C6F5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z Ojczyzną</w:t>
            </w:r>
          </w:p>
          <w:p w14:paraId="6A15A2F5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określa cechy istotne dla</w:t>
            </w:r>
          </w:p>
          <w:p w14:paraId="5B1977E1" w14:textId="77777777" w:rsidR="00406509" w:rsidRDefault="00550055">
            <w:pPr>
              <w:spacing w:after="1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NewRomanPSMT" w:hAnsi="TimesNewRomanPSMT"/>
                <w:sz w:val="18"/>
                <w:szCs w:val="22"/>
              </w:rPr>
              <w:t>wspólnoty narodowej</w:t>
            </w:r>
          </w:p>
        </w:tc>
      </w:tr>
      <w:tr w:rsidR="00406509" w14:paraId="389FCDDA" w14:textId="77777777"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EE17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2. My wobec innych</w:t>
            </w:r>
          </w:p>
          <w:p w14:paraId="670B952C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4266B31E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78F26295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05BCE26C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6F91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 ▪ posługując się diagramem</w:t>
            </w:r>
          </w:p>
          <w:p w14:paraId="4FCFA9FF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(podręcznik, s. 12), wymienia</w:t>
            </w:r>
          </w:p>
          <w:p w14:paraId="6CB97B05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elementy postawy</w:t>
            </w:r>
          </w:p>
          <w:p w14:paraId="22B1516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podaje przykłady stereotypów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D7793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identyfikuje </w:t>
            </w:r>
            <w:r>
              <w:rPr>
                <w:rFonts w:ascii="TimesNewRomanPSMT" w:hAnsi="TimesNewRomanPSMT"/>
                <w:sz w:val="18"/>
              </w:rPr>
              <w:t>przejawy uprzedzeń</w:t>
            </w:r>
          </w:p>
          <w:p w14:paraId="593105F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i ksenofobii</w:t>
            </w:r>
          </w:p>
          <w:p w14:paraId="48BF8E9B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określa istotę podziału na „my” i „oni”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EA60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podaje przykłady mowy nienawiści</w:t>
            </w:r>
          </w:p>
          <w:p w14:paraId="4DC42C97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79EF72CC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analizuje „piramidę nienawiści” (podręcznik, s. 16)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3E30F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ocenia wybrane przejawy</w:t>
            </w:r>
          </w:p>
          <w:p w14:paraId="7FFAA67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ksenofobii, stereotypów,</w:t>
            </w:r>
          </w:p>
          <w:p w14:paraId="4DD11259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uprzedzeń i dyskryminacji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9C88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odwołując się</w:t>
            </w:r>
            <w:r>
              <w:rPr>
                <w:rFonts w:ascii="TimesNewRomanPSMT" w:hAnsi="TimesNewRomanPSMT"/>
                <w:sz w:val="18"/>
              </w:rPr>
              <w:t xml:space="preserve"> do wybranych</w:t>
            </w:r>
          </w:p>
          <w:p w14:paraId="3A4FE2D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przykładów, wskazuje, jak</w:t>
            </w:r>
          </w:p>
          <w:p w14:paraId="25BDA06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należy reagować na postawy</w:t>
            </w:r>
          </w:p>
          <w:p w14:paraId="76C06563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ksenofobii, stereotypów,</w:t>
            </w:r>
          </w:p>
          <w:p w14:paraId="4DFE877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uprzedzeń i dyskryminacji</w:t>
            </w:r>
          </w:p>
        </w:tc>
      </w:tr>
      <w:tr w:rsidR="00406509" w14:paraId="68DA136E" w14:textId="77777777"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8F41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3. Jak zachować się w grupie? </w:t>
            </w:r>
          </w:p>
          <w:p w14:paraId="1DA82225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5632A37B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6FB68ECE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49916EF8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6B5AFCED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61253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podaje przykłady </w:t>
            </w:r>
            <w:proofErr w:type="spellStart"/>
            <w:r>
              <w:rPr>
                <w:rFonts w:ascii="TimesNewRomanPSMT" w:hAnsi="TimesNewRomanPSMT"/>
                <w:sz w:val="18"/>
              </w:rPr>
              <w:t>zachowań</w:t>
            </w:r>
            <w:proofErr w:type="spellEnd"/>
            <w:r>
              <w:rPr>
                <w:rFonts w:ascii="TimesNewRomanPSMT" w:hAnsi="TimesNewRomanPSMT"/>
                <w:sz w:val="18"/>
              </w:rPr>
              <w:t>,</w:t>
            </w:r>
          </w:p>
          <w:p w14:paraId="2A19C84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które budują zaufanie</w:t>
            </w:r>
          </w:p>
          <w:p w14:paraId="3A261D1F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identyfikuje przykłady działań</w:t>
            </w:r>
          </w:p>
          <w:p w14:paraId="6337FE5C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zespołowych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5EFE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</w:t>
            </w:r>
            <w:r>
              <w:rPr>
                <w:rFonts w:ascii="TimesNewRomanPSMT" w:hAnsi="TimesNewRomanPSMT"/>
                <w:sz w:val="18"/>
              </w:rPr>
              <w:t>podaje przykład różnic</w:t>
            </w:r>
          </w:p>
          <w:p w14:paraId="2872558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pokoleniowych</w:t>
            </w:r>
          </w:p>
          <w:p w14:paraId="4546F9D3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określa zasady, które sprzyjają współdziałaniu w grupie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AE3D3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wskazuje metody rozwiązywania</w:t>
            </w:r>
          </w:p>
          <w:p w14:paraId="2432FD2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konfliktów</w:t>
            </w:r>
          </w:p>
          <w:p w14:paraId="5325AEE8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 różnicę między</w:t>
            </w:r>
          </w:p>
          <w:p w14:paraId="67B3E4E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arbitrażem a mediacją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15DF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wyjaśnia, dlaczego zaufanie należy do podstaw życia społecznego </w:t>
            </w:r>
          </w:p>
          <w:p w14:paraId="615EA3B8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</w:t>
            </w:r>
            <w:r>
              <w:rPr>
                <w:rFonts w:ascii="TimesNewRomanPSMT" w:hAnsi="TimesNewRomanPSMT"/>
                <w:sz w:val="18"/>
              </w:rPr>
              <w:t>dróżnia konflikty konstruktywne</w:t>
            </w:r>
          </w:p>
          <w:p w14:paraId="06BBC5B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i destruktywne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C4788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posługując się wykresem</w:t>
            </w:r>
          </w:p>
          <w:p w14:paraId="42710EA3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(podręcznik, s.18), analizuje</w:t>
            </w:r>
          </w:p>
          <w:p w14:paraId="064B622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ranking zaufania wg zawodów</w:t>
            </w:r>
          </w:p>
          <w:p w14:paraId="15012AF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w Polsce</w:t>
            </w:r>
          </w:p>
        </w:tc>
      </w:tr>
      <w:tr w:rsidR="00406509" w14:paraId="673FDD6D" w14:textId="77777777">
        <w:trPr>
          <w:trHeight w:val="1764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84AAA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4. Polacy między jednością</w:t>
            </w:r>
          </w:p>
          <w:p w14:paraId="51C51E38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a podziałami</w:t>
            </w:r>
          </w:p>
          <w:p w14:paraId="1225289B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3693891E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55001053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7E7F247A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6EA764D6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4642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wymienia przykładowe czynniki</w:t>
            </w:r>
          </w:p>
          <w:p w14:paraId="3D12C9C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łączące i dzielące współczesne</w:t>
            </w:r>
          </w:p>
          <w:p w14:paraId="14D3346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społeczeństwo polskie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D2E5B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- określa kierunki zmian w strukturze</w:t>
            </w:r>
          </w:p>
          <w:p w14:paraId="1438069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ludności Polski na początku</w:t>
            </w:r>
          </w:p>
          <w:p w14:paraId="44629FA8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XXI wieku</w:t>
            </w:r>
          </w:p>
          <w:p w14:paraId="1693DC15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- podaje</w:t>
            </w:r>
          </w:p>
          <w:p w14:paraId="416EC24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przykłady wykluczenia społecznego</w:t>
            </w:r>
          </w:p>
          <w:p w14:paraId="511F3365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we współczesnej Polsce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3863B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odwołując się do wybranych</w:t>
            </w:r>
          </w:p>
          <w:p w14:paraId="6341456C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przykładów, wskazuje z czego</w:t>
            </w:r>
          </w:p>
          <w:p w14:paraId="5A111EB8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możemy być dumni jako państwo i </w:t>
            </w:r>
            <w:r>
              <w:rPr>
                <w:rFonts w:ascii="TimesNewRomanPSMT" w:hAnsi="TimesNewRomanPSMT"/>
                <w:sz w:val="18"/>
              </w:rPr>
              <w:t>społeczeństwo</w:t>
            </w:r>
          </w:p>
          <w:p w14:paraId="5DD4548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identyfikuje przejawy podziału</w:t>
            </w:r>
          </w:p>
          <w:p w14:paraId="35BCB20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politycznego wśród Polaków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028B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proofErr w:type="gramStart"/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 analizuje</w:t>
            </w:r>
            <w:proofErr w:type="gramEnd"/>
            <w:r>
              <w:rPr>
                <w:rFonts w:ascii="TimesNewRomanPSMT" w:hAnsi="TimesNewRomanPSMT"/>
                <w:sz w:val="18"/>
              </w:rPr>
              <w:t xml:space="preserve"> czynniki łączące Polaków na początku XXI wieku</w:t>
            </w:r>
          </w:p>
          <w:p w14:paraId="389C661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- podaje przykłady wykluczenia społecznego</w:t>
            </w:r>
          </w:p>
          <w:p w14:paraId="630540CB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we współczesnej Polsce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38DA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formułuje własną opinię dotyczącą</w:t>
            </w:r>
          </w:p>
          <w:p w14:paraId="46AF0F3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dumy z przynależnośc</w:t>
            </w:r>
            <w:r>
              <w:rPr>
                <w:rFonts w:ascii="TimesNewRomanPSMT" w:hAnsi="TimesNewRomanPSMT"/>
                <w:sz w:val="18"/>
              </w:rPr>
              <w:t>i</w:t>
            </w:r>
          </w:p>
          <w:p w14:paraId="44E6D9D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do wspólnoty polskiej</w:t>
            </w:r>
          </w:p>
        </w:tc>
      </w:tr>
      <w:tr w:rsidR="00406509" w14:paraId="4EE47D1E" w14:textId="77777777">
        <w:trPr>
          <w:trHeight w:val="677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E9403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5. Uwaga! Teorie spiskowe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102C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 ▪ podaje przykład teorii spiskowych</w:t>
            </w:r>
          </w:p>
          <w:p w14:paraId="55740493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 znaczenie terminów</w:t>
            </w:r>
          </w:p>
          <w:p w14:paraId="5EE0606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„teoria” oraz „spisek”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F49E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wyjaśnia, na czym polega</w:t>
            </w:r>
          </w:p>
          <w:p w14:paraId="7123E24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zjawisko „kozła ofiarnego”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C040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wskazuje przykładowe czynniki</w:t>
            </w:r>
          </w:p>
          <w:p w14:paraId="4A23325F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sprzyjające upowszechnianiu</w:t>
            </w:r>
          </w:p>
          <w:p w14:paraId="43503855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teorii spiskowych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DFC3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proofErr w:type="gramStart"/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 omawia</w:t>
            </w:r>
            <w:proofErr w:type="gramEnd"/>
          </w:p>
          <w:p w14:paraId="1D11433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wybraną teorię spiskową, np.  dotyczącą COVID-19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D47D0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- omawia wybrane metody obrony przed</w:t>
            </w:r>
          </w:p>
          <w:p w14:paraId="41C8C96F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teoriami spiskowymi</w:t>
            </w:r>
          </w:p>
        </w:tc>
      </w:tr>
      <w:tr w:rsidR="00406509" w14:paraId="4A15B092" w14:textId="77777777">
        <w:trPr>
          <w:trHeight w:val="1323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0C0EA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lastRenderedPageBreak/>
              <w:t xml:space="preserve">6. W obronie Ojczyzny </w:t>
            </w:r>
          </w:p>
          <w:p w14:paraId="6815A2C1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2111A679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3D2C3A10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64BC43F0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73D0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wskazuje, jaki jest zakres działań Wojsk Obrony Terytorialnej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C420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proofErr w:type="gramStart"/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 rozróżnia</w:t>
            </w:r>
            <w:proofErr w:type="gramEnd"/>
            <w:r>
              <w:rPr>
                <w:rFonts w:ascii="TimesNewRomanPSMT" w:hAnsi="TimesNewRomanPSMT"/>
                <w:sz w:val="18"/>
              </w:rPr>
              <w:t xml:space="preserve"> kategorie </w:t>
            </w:r>
            <w:r>
              <w:rPr>
                <w:rFonts w:ascii="TimesNewRomanPSMT" w:hAnsi="TimesNewRomanPSMT"/>
                <w:sz w:val="18"/>
              </w:rPr>
              <w:t>uzyskiwane podczas</w:t>
            </w:r>
          </w:p>
          <w:p w14:paraId="32BCF6C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kwalifikacji wojskowej </w:t>
            </w:r>
          </w:p>
          <w:p w14:paraId="1653348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proofErr w:type="gramStart"/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 charakteryzuje</w:t>
            </w:r>
            <w:proofErr w:type="gramEnd"/>
          </w:p>
          <w:p w14:paraId="11125CBC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organizację sił zbrojnych</w:t>
            </w:r>
          </w:p>
          <w:p w14:paraId="087C554B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w Polsce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0CC2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identyfikuje współczesne formy zagrożeń Ojczyzny</w:t>
            </w:r>
          </w:p>
          <w:p w14:paraId="5F05C173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wyjaśnia, na czym polega</w:t>
            </w:r>
          </w:p>
          <w:p w14:paraId="7ADB303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dobrowolna służba wojskowa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5AD35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rozróżnia świadczenia osobiste</w:t>
            </w:r>
          </w:p>
          <w:p w14:paraId="3162B49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i rzeczowe jako </w:t>
            </w:r>
            <w:r>
              <w:rPr>
                <w:rFonts w:ascii="TimesNewRomanPSMT" w:hAnsi="TimesNewRomanPSMT"/>
                <w:sz w:val="18"/>
              </w:rPr>
              <w:t>szczególne</w:t>
            </w:r>
          </w:p>
          <w:p w14:paraId="32B661F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formy obrony Ojczyzny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81BAB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odwołując się do wybranych</w:t>
            </w:r>
          </w:p>
          <w:p w14:paraId="12AA1CA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przykładów, określa, jaką rolę</w:t>
            </w:r>
          </w:p>
          <w:p w14:paraId="231B0379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w obronie Ojczyzny mogą odgrywać</w:t>
            </w:r>
          </w:p>
          <w:p w14:paraId="5E60FEA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organizacje społeczne</w:t>
            </w:r>
          </w:p>
        </w:tc>
      </w:tr>
      <w:tr w:rsidR="00406509" w14:paraId="1BB5B30B" w14:textId="77777777">
        <w:trPr>
          <w:trHeight w:val="312"/>
        </w:trPr>
        <w:tc>
          <w:tcPr>
            <w:tcW w:w="1422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3A675" w14:textId="77777777" w:rsidR="00406509" w:rsidRDefault="00550055">
            <w:pPr>
              <w:jc w:val="center"/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II. SZKOŁA JAKO WSPÓLNOTA</w:t>
            </w:r>
          </w:p>
        </w:tc>
      </w:tr>
      <w:tr w:rsidR="00406509" w14:paraId="2F69BABD" w14:textId="77777777">
        <w:trPr>
          <w:trHeight w:val="1131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26CF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7. Jak funkcjonuje szkoła? </w:t>
            </w:r>
          </w:p>
          <w:p w14:paraId="063BDE09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41C1B49E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AF7D3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wyjaśnia, czym jest statut szkoły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23F1B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wymienia </w:t>
            </w:r>
            <w:r>
              <w:rPr>
                <w:rFonts w:ascii="TimesNewRomanPSMT" w:hAnsi="TimesNewRomanPSMT"/>
                <w:sz w:val="18"/>
              </w:rPr>
              <w:t>przykłady praw</w:t>
            </w:r>
          </w:p>
          <w:p w14:paraId="0C7BC66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i obowiązków ucznia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71DDC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określa rolę statutu szkoły wśród innych</w:t>
            </w:r>
          </w:p>
          <w:p w14:paraId="0BC13C7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dokumentów szkolnych</w:t>
            </w:r>
          </w:p>
          <w:p w14:paraId="0F3A70C3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proofErr w:type="gramStart"/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 omawia</w:t>
            </w:r>
            <w:proofErr w:type="gramEnd"/>
            <w:r>
              <w:rPr>
                <w:rFonts w:ascii="TimesNewRomanPSMT" w:hAnsi="TimesNewRomanPSMT"/>
                <w:sz w:val="18"/>
              </w:rPr>
              <w:t xml:space="preserve"> wybrane prawa i obowiązki ucznia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4AB2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określa rolę Podstawy programowej wśród</w:t>
            </w:r>
          </w:p>
          <w:p w14:paraId="5E26C77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innych dokumentów szkolnych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FFBD3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wskazuje, jak należy reagować</w:t>
            </w:r>
          </w:p>
          <w:p w14:paraId="302C9955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w sytuacjach</w:t>
            </w:r>
            <w:r>
              <w:rPr>
                <w:rFonts w:ascii="TimesNewRomanPSMT" w:hAnsi="TimesNewRomanPSMT"/>
                <w:sz w:val="18"/>
              </w:rPr>
              <w:t xml:space="preserve"> naruszenia reguł</w:t>
            </w:r>
          </w:p>
          <w:p w14:paraId="3A0316E3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określonych w dokumentach</w:t>
            </w:r>
          </w:p>
          <w:p w14:paraId="2391E778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szkolnych</w:t>
            </w:r>
          </w:p>
        </w:tc>
      </w:tr>
      <w:tr w:rsidR="00406509" w14:paraId="780533A7" w14:textId="77777777">
        <w:trPr>
          <w:trHeight w:val="1474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DBDD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8. Szkoła samorządności</w:t>
            </w:r>
          </w:p>
          <w:p w14:paraId="23D82756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3669E65C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17B72247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67AAC2E0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1D02F759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7E15C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 ▪ wyjaśnia, kto tworzy samorząd</w:t>
            </w:r>
          </w:p>
          <w:p w14:paraId="15ED399A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klasowy oraz samorząd szkolny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77EB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podaje przykłady działalności samorządu klasowego oraz szkolnego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628E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 zasady funkcjonowania samorządu</w:t>
            </w:r>
            <w:r>
              <w:rPr>
                <w:rFonts w:ascii="TimesNewRomanPSMT" w:hAnsi="TimesNewRomanPSMT"/>
                <w:sz w:val="18"/>
              </w:rPr>
              <w:t xml:space="preserve"> szkolnego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BCC49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wymienia sposoby włączania się uczniów w decydowanie o sprawach szkoły</w:t>
            </w:r>
          </w:p>
          <w:p w14:paraId="1E88BFFF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wskazuje przykłady konkretnych</w:t>
            </w:r>
          </w:p>
          <w:p w14:paraId="7F3A6B4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rozwiązań w tej sprawie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38F1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określa, czym się różni rada szkoły od rady rodziców</w:t>
            </w:r>
          </w:p>
        </w:tc>
      </w:tr>
      <w:tr w:rsidR="00406509" w14:paraId="09E1F6E8" w14:textId="77777777">
        <w:trPr>
          <w:trHeight w:val="1131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B86D3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9. Uczyć się w szkole i poza szkołą </w:t>
            </w:r>
          </w:p>
          <w:p w14:paraId="3B9041EA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283D9230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5D1E0FA8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B802A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wymienia </w:t>
            </w:r>
            <w:r>
              <w:rPr>
                <w:rFonts w:ascii="TimesNewRomanPSMT" w:hAnsi="TimesNewRomanPSMT"/>
                <w:sz w:val="18"/>
              </w:rPr>
              <w:t>przykładowe formy</w:t>
            </w:r>
          </w:p>
          <w:p w14:paraId="1C80A6D3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edukacji pozaszkolnej</w:t>
            </w:r>
          </w:p>
          <w:p w14:paraId="0E8C9EC8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proofErr w:type="gramStart"/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 wskazuje</w:t>
            </w:r>
            <w:proofErr w:type="gramEnd"/>
            <w:r>
              <w:rPr>
                <w:rFonts w:ascii="TimesNewRomanPSMT" w:hAnsi="TimesNewRomanPSMT"/>
                <w:sz w:val="18"/>
              </w:rPr>
              <w:t xml:space="preserve"> możliwe ścieżki edukacji absolwentów szkoły branżowej I stopnia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425F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omawia podstawy funkcjonowania polskiej oświaty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231C0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 znaczenie obowiązku</w:t>
            </w:r>
          </w:p>
          <w:p w14:paraId="47DB8098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nauki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12C2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omawia przykładowe formy edukacji pozaszkolnej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77AFB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</w:t>
            </w:r>
            <w:r>
              <w:rPr>
                <w:rFonts w:ascii="TimesNewRomanPSMT" w:hAnsi="TimesNewRomanPSMT"/>
                <w:sz w:val="18"/>
              </w:rPr>
              <w:t>kazuje, jakie korzyści może</w:t>
            </w:r>
          </w:p>
          <w:p w14:paraId="0BE5CC79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dać edukacja szkolna i pozaszkolna</w:t>
            </w:r>
          </w:p>
        </w:tc>
      </w:tr>
      <w:tr w:rsidR="00406509" w14:paraId="3D6B13C4" w14:textId="77777777">
        <w:trPr>
          <w:trHeight w:val="986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9D78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10. Szkoła mediacji </w:t>
            </w:r>
          </w:p>
          <w:p w14:paraId="265F420C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5899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podaje przykłady konfliktów</w:t>
            </w:r>
          </w:p>
          <w:p w14:paraId="4B2B7D4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szkolnych</w:t>
            </w:r>
          </w:p>
          <w:p w14:paraId="5E7110EF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identyfikuje konflikty, które</w:t>
            </w:r>
          </w:p>
          <w:p w14:paraId="32A3975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nie podlegają mediacji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28BE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omawia zasady prowadzenia mediacji</w:t>
            </w:r>
          </w:p>
          <w:p w14:paraId="1BEDCA7A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szkolnej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D6E95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wyjaśnia, kto może zostać</w:t>
            </w:r>
          </w:p>
          <w:p w14:paraId="43080FD0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mediatorem rówieśniczym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3758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wyjaśnia, jakie zalety ma mediacja przy rozwiązywaniu konfliktów</w:t>
            </w:r>
          </w:p>
          <w:p w14:paraId="47D19E0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rówieśniczych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768E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proofErr w:type="gramStart"/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 omawia</w:t>
            </w:r>
            <w:proofErr w:type="gramEnd"/>
            <w:r>
              <w:rPr>
                <w:rFonts w:ascii="TimesNewRomanPSMT" w:hAnsi="TimesNewRomanPSMT"/>
                <w:sz w:val="18"/>
              </w:rPr>
              <w:t xml:space="preserve"> sposoby budowania empatii</w:t>
            </w:r>
          </w:p>
          <w:p w14:paraId="647025E8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omawia etapy sesji mediacyjnej</w:t>
            </w:r>
          </w:p>
        </w:tc>
      </w:tr>
      <w:tr w:rsidR="00406509" w14:paraId="313BF470" w14:textId="77777777">
        <w:trPr>
          <w:trHeight w:val="395"/>
        </w:trPr>
        <w:tc>
          <w:tcPr>
            <w:tcW w:w="1422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221EA" w14:textId="77777777" w:rsidR="00406509" w:rsidRDefault="00550055">
            <w:pPr>
              <w:jc w:val="center"/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III. SPOŁECZNOŚĆ LOKALNA</w:t>
            </w:r>
          </w:p>
        </w:tc>
      </w:tr>
      <w:tr w:rsidR="00406509" w14:paraId="51CE7695" w14:textId="77777777">
        <w:trPr>
          <w:trHeight w:val="986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D2BC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11. Czym jest samorząd</w:t>
            </w:r>
          </w:p>
          <w:p w14:paraId="4E2548E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terytorialny?</w:t>
            </w:r>
          </w:p>
          <w:p w14:paraId="0769ECE8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05B23BDA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21AEDD2F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4C681663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502FA44A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4EBE79EE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7C589180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2C6DF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wymienia </w:t>
            </w:r>
            <w:r>
              <w:rPr>
                <w:rFonts w:ascii="TimesNewRomanPSMT" w:hAnsi="TimesNewRomanPSMT"/>
                <w:sz w:val="18"/>
              </w:rPr>
              <w:t>szczeble samorządu</w:t>
            </w:r>
          </w:p>
          <w:p w14:paraId="6D243E1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terytorialnego</w:t>
            </w:r>
          </w:p>
          <w:p w14:paraId="226ED38C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podaje przykłady zadań, które</w:t>
            </w:r>
          </w:p>
          <w:p w14:paraId="10B6579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realizuje samorząd gminny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AD209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proofErr w:type="gramStart"/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 identyfikuje</w:t>
            </w:r>
            <w:proofErr w:type="gramEnd"/>
          </w:p>
          <w:p w14:paraId="5768741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organy trzech szczebli samorządu terytorialnego i sposób ich powoływania</w:t>
            </w:r>
          </w:p>
          <w:p w14:paraId="5D3B7C5D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ED0FA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odwołując się do wybranych</w:t>
            </w:r>
          </w:p>
          <w:p w14:paraId="0F43F4D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przykładów, porównuje zadania</w:t>
            </w:r>
          </w:p>
          <w:p w14:paraId="3D13C24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i kompetencje s</w:t>
            </w:r>
            <w:r>
              <w:rPr>
                <w:rFonts w:ascii="TimesNewRomanPSMT" w:hAnsi="TimesNewRomanPSMT"/>
                <w:sz w:val="18"/>
              </w:rPr>
              <w:t>amorządu gminnego</w:t>
            </w:r>
          </w:p>
          <w:p w14:paraId="3A10FB28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i powiatowego</w:t>
            </w:r>
          </w:p>
          <w:p w14:paraId="387FED7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podaje przykłady zadań, które</w:t>
            </w:r>
          </w:p>
          <w:p w14:paraId="1EC505EF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realizuje samorząd na szczeblu powiatowym i wojewódzkim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15B4C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wskazuje sposoby wpływania przez obywateli na decyzje samorządu terytorialnego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8324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rozróżnia dwa rodzaje referendum lokalnego – </w:t>
            </w:r>
            <w:r>
              <w:rPr>
                <w:rFonts w:ascii="TimesNewRomanPSMT" w:hAnsi="TimesNewRomanPSMT"/>
                <w:sz w:val="18"/>
              </w:rPr>
              <w:t>odwoławcze i tematyczne</w:t>
            </w:r>
          </w:p>
        </w:tc>
      </w:tr>
      <w:tr w:rsidR="00406509" w14:paraId="79465D20" w14:textId="77777777">
        <w:trPr>
          <w:trHeight w:val="986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81E5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lastRenderedPageBreak/>
              <w:t xml:space="preserve">12. Działając dla innych </w:t>
            </w:r>
          </w:p>
          <w:p w14:paraId="64A03B14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720761E1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2042D8FF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3F8B639D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6179419E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7447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wyjaśnia, na czym polega</w:t>
            </w:r>
          </w:p>
          <w:p w14:paraId="746A1238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wolontariat</w:t>
            </w:r>
          </w:p>
          <w:p w14:paraId="2449E6C1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6500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identyfikuje budżet obywatelski jako formę aktywności członków</w:t>
            </w:r>
          </w:p>
          <w:p w14:paraId="52DA1009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wspólnoty lokalnej</w:t>
            </w:r>
          </w:p>
          <w:p w14:paraId="12A6192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wyjaśnia, czym jest sołectwo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F34D3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odwołując się do wybranych</w:t>
            </w:r>
          </w:p>
          <w:p w14:paraId="0D3A45B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przykładów, </w:t>
            </w:r>
            <w:r>
              <w:rPr>
                <w:rFonts w:ascii="TimesNewRomanPSMT" w:hAnsi="TimesNewRomanPSMT"/>
                <w:sz w:val="18"/>
              </w:rPr>
              <w:t>charakteryzuje</w:t>
            </w:r>
          </w:p>
          <w:p w14:paraId="0F9146C3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znaczenie inicjatywy lokalnej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4730B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wyodrębnia etapy realizacji budżetu obywatelskiego</w:t>
            </w:r>
          </w:p>
          <w:p w14:paraId="69CE3C6B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identyfikuje fundusz sołecki jako formę aktywności członków</w:t>
            </w:r>
          </w:p>
          <w:p w14:paraId="27F0C36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wspólnoty lokalnej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4AA18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wykorzystuje wybraną formę</w:t>
            </w:r>
          </w:p>
          <w:p w14:paraId="2E7E4199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aktywności obywatelskiej</w:t>
            </w:r>
          </w:p>
          <w:p w14:paraId="3CA74D1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w sprawie ważnej dla </w:t>
            </w:r>
            <w:r>
              <w:rPr>
                <w:rFonts w:ascii="TimesNewRomanPSMT" w:hAnsi="TimesNewRomanPSMT"/>
                <w:sz w:val="18"/>
              </w:rPr>
              <w:t>siebie</w:t>
            </w:r>
          </w:p>
        </w:tc>
      </w:tr>
      <w:tr w:rsidR="00406509" w14:paraId="147B0443" w14:textId="77777777">
        <w:trPr>
          <w:trHeight w:val="986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F7DA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13. Dostęp do informacji publicznej </w:t>
            </w:r>
          </w:p>
          <w:p w14:paraId="1F3522CD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5484DADA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07CCC8DF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5642C729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5ADF59EB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96709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podaje przykłady informacji</w:t>
            </w:r>
          </w:p>
          <w:p w14:paraId="434295D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publicznej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C381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wyjaśnia, czym jest Biuletyn Informacji Publicznej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FDCE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wskazuje główne ścieżki dotarcia do informacji publicznej</w:t>
            </w:r>
          </w:p>
          <w:p w14:paraId="6849BBEA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podaje przykłady informacji,</w:t>
            </w:r>
          </w:p>
          <w:p w14:paraId="6FBAFCE9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których nie można </w:t>
            </w:r>
            <w:r>
              <w:rPr>
                <w:rFonts w:ascii="TimesNewRomanPSMT" w:hAnsi="TimesNewRomanPSMT"/>
                <w:sz w:val="18"/>
              </w:rPr>
              <w:t>żądać od</w:t>
            </w:r>
          </w:p>
          <w:p w14:paraId="73856EFA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instytucji publicznych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F623B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identyfikuje podstawy prawne regulujące dostęp do informacji publicznej</w:t>
            </w:r>
          </w:p>
          <w:p w14:paraId="4068638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omawia zasady pisania wniosku o dostęp do informacji publicznej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FE43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analizuje art. 61 Konstytucji RP oraz art. 23 Ustawy o dostępie do informacji publ</w:t>
            </w:r>
            <w:r>
              <w:rPr>
                <w:rFonts w:ascii="TimesNewRomanPSMT" w:hAnsi="TimesNewRomanPSMT"/>
                <w:sz w:val="18"/>
              </w:rPr>
              <w:t>icznej</w:t>
            </w:r>
          </w:p>
          <w:p w14:paraId="7FA25968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wykazuje, że dostęp do</w:t>
            </w:r>
          </w:p>
          <w:p w14:paraId="124CE5B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informacji publicznej jest formą</w:t>
            </w:r>
          </w:p>
          <w:p w14:paraId="2B166059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kontroli obywatelskiej</w:t>
            </w:r>
          </w:p>
        </w:tc>
      </w:tr>
      <w:tr w:rsidR="00406509" w14:paraId="347CF6CE" w14:textId="77777777">
        <w:trPr>
          <w:trHeight w:val="365"/>
        </w:trPr>
        <w:tc>
          <w:tcPr>
            <w:tcW w:w="1422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F2E38" w14:textId="77777777" w:rsidR="00406509" w:rsidRDefault="00550055">
            <w:pPr>
              <w:jc w:val="center"/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IV. DEMOKRACJA I PRAWO</w:t>
            </w:r>
          </w:p>
        </w:tc>
      </w:tr>
      <w:tr w:rsidR="00406509" w14:paraId="14735DB7" w14:textId="77777777">
        <w:trPr>
          <w:trHeight w:val="986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51C38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14. Polska na drodze zmian</w:t>
            </w:r>
          </w:p>
          <w:p w14:paraId="79E872F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ustrojowych</w:t>
            </w:r>
          </w:p>
          <w:p w14:paraId="658EAF9D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2DF4040F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054C8E1E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64F4C021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1C7BAAC6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3404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identyfikuje główne cechy ustroju demokratycznego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5AF2C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wymienia przykładowe wydarzenia świadczące o </w:t>
            </w:r>
            <w:r>
              <w:rPr>
                <w:rFonts w:ascii="TimesNewRomanPSMT" w:hAnsi="TimesNewRomanPSMT"/>
                <w:sz w:val="18"/>
              </w:rPr>
              <w:t>tym, że Polska w latach 1945–1989 nie była państwem demokratycznym</w:t>
            </w:r>
          </w:p>
          <w:p w14:paraId="6BADFA7B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wymienia główne cechy systemu totalitarnego i autorytarnego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F362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identyfikuje przejawy sytemu</w:t>
            </w:r>
          </w:p>
          <w:p w14:paraId="217E08A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autorytarnego w Polsce w latach</w:t>
            </w:r>
          </w:p>
          <w:p w14:paraId="7B1DEFBC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1945–1989</w:t>
            </w:r>
          </w:p>
          <w:p w14:paraId="46830B0A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wykazuje, że Polska w latach</w:t>
            </w:r>
          </w:p>
          <w:p w14:paraId="2C4B4F55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1945–1989 nie była pańs</w:t>
            </w:r>
            <w:r>
              <w:rPr>
                <w:rFonts w:ascii="TimesNewRomanPSMT" w:hAnsi="TimesNewRomanPSMT"/>
                <w:sz w:val="18"/>
              </w:rPr>
              <w:t>twem</w:t>
            </w:r>
          </w:p>
          <w:p w14:paraId="602F3B68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demokratycznym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6E238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porównuje system totalitarny</w:t>
            </w:r>
          </w:p>
          <w:p w14:paraId="1621453B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i autorytarny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99578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charakteryzuje ogólny mechanizm</w:t>
            </w:r>
          </w:p>
          <w:p w14:paraId="0E97D67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przemian ustrojowych</w:t>
            </w:r>
          </w:p>
          <w:p w14:paraId="720A693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w Polsce w latach 1945–1989</w:t>
            </w:r>
          </w:p>
        </w:tc>
      </w:tr>
      <w:tr w:rsidR="00406509" w14:paraId="5F78985C" w14:textId="77777777">
        <w:trPr>
          <w:trHeight w:val="1980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EFD5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15. Niełatwe polskie przemiany</w:t>
            </w:r>
          </w:p>
          <w:p w14:paraId="0DA9AD81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4171D87F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478B678A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4A0FE615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 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AA25F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 ▪ podaje przykłady zmian dokonanych w Polsce od 1989 roku</w:t>
            </w:r>
          </w:p>
          <w:p w14:paraId="5034022F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49F9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rozróżnia</w:t>
            </w:r>
            <w:r>
              <w:rPr>
                <w:rFonts w:ascii="TimesNewRomanPSMT" w:hAnsi="TimesNewRomanPSMT"/>
                <w:sz w:val="18"/>
              </w:rPr>
              <w:t xml:space="preserve"> przemiany polityczne</w:t>
            </w:r>
          </w:p>
          <w:p w14:paraId="41AB278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od gospodarczych i społecznych,</w:t>
            </w:r>
          </w:p>
          <w:p w14:paraId="5E17CDB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które zaszły w Polsce po 1989</w:t>
            </w:r>
          </w:p>
          <w:p w14:paraId="523AD7D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roku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82DF3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omawia konsekwencje polskiej</w:t>
            </w:r>
          </w:p>
          <w:p w14:paraId="3B879600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transformacji,</w:t>
            </w:r>
          </w:p>
          <w:p w14:paraId="5B9245DB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wskazuje głównie etapy demokratyzacji</w:t>
            </w:r>
          </w:p>
          <w:p w14:paraId="158EC3D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Polski po 1989 roku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AF9E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ocenia wybrane przejawy</w:t>
            </w:r>
          </w:p>
          <w:p w14:paraId="5752BA2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polskiej transformacji, wskazując</w:t>
            </w:r>
          </w:p>
          <w:p w14:paraId="1BBB9DAB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pozytywne i negatywne</w:t>
            </w:r>
          </w:p>
          <w:p w14:paraId="079C718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zjawiska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B272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omawia konsekwencje polskiej transformacji, wykorzystując doświadczenia świadków historii</w:t>
            </w:r>
          </w:p>
          <w:p w14:paraId="01DA9D80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posługując się m.in. wykresami</w:t>
            </w:r>
          </w:p>
          <w:p w14:paraId="3AD8FB29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słupkowymi (podręcznik, s. 107,</w:t>
            </w:r>
          </w:p>
          <w:p w14:paraId="31282E90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108, 109), wskazuje zależności</w:t>
            </w:r>
          </w:p>
          <w:p w14:paraId="6D8F0C8C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między przemianami politycznymi,</w:t>
            </w:r>
          </w:p>
          <w:p w14:paraId="23E1469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gosp</w:t>
            </w:r>
            <w:r>
              <w:rPr>
                <w:rFonts w:ascii="TimesNewRomanPSMT" w:hAnsi="TimesNewRomanPSMT"/>
                <w:sz w:val="18"/>
              </w:rPr>
              <w:t>odarczymi i społecznymi</w:t>
            </w:r>
          </w:p>
          <w:p w14:paraId="145D6F0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w Polsce po 1989 roku</w:t>
            </w:r>
          </w:p>
        </w:tc>
      </w:tr>
      <w:tr w:rsidR="00406509" w14:paraId="5838F31F" w14:textId="77777777">
        <w:trPr>
          <w:trHeight w:val="1980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9EC3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lastRenderedPageBreak/>
              <w:t xml:space="preserve">16. Podstawy ustrojowe Polski </w:t>
            </w:r>
          </w:p>
          <w:p w14:paraId="50670DC9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1C88A6C6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4172A9BC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66E666CA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300236E4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600084B2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F7F8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identyfikuje Konstytucję RP,</w:t>
            </w:r>
          </w:p>
          <w:p w14:paraId="14FC0FE0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jako naczelne źródło prawa</w:t>
            </w:r>
          </w:p>
          <w:p w14:paraId="24F9AFD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w naszym państwie</w:t>
            </w:r>
          </w:p>
          <w:p w14:paraId="19DB65B5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wymienia podstawowe zasady</w:t>
            </w:r>
          </w:p>
          <w:p w14:paraId="10D996B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demokratycznego państwa prawa, korzystając z Konstytucji RP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89D2A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5C32193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</w:t>
            </w:r>
            <w:r>
              <w:rPr>
                <w:rFonts w:ascii="TimesNewRomanPSMT" w:hAnsi="TimesNewRomanPSMT"/>
                <w:sz w:val="18"/>
              </w:rPr>
              <w:t>określa rolę Konstytucji RP w hierarchii źródeł prawa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D4AD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omawia niektóre z zasad demokratycznego państwa prawa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CCC0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analizuje fragment preambuły</w:t>
            </w:r>
          </w:p>
          <w:p w14:paraId="699B418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oraz art. 13 Konstytucji RP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D483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 wpływ zasad ustrojowych w Rzeczypospolitej Polskiej na życie codzienne jej o</w:t>
            </w:r>
            <w:r>
              <w:rPr>
                <w:rFonts w:ascii="TimesNewRomanPSMT" w:hAnsi="TimesNewRomanPSMT"/>
                <w:sz w:val="18"/>
              </w:rPr>
              <w:t>bywateli</w:t>
            </w:r>
          </w:p>
        </w:tc>
      </w:tr>
      <w:tr w:rsidR="00406509" w14:paraId="23255B4B" w14:textId="77777777">
        <w:trPr>
          <w:trHeight w:val="1474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3D77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17. Wybory niezbędnym</w:t>
            </w:r>
          </w:p>
          <w:p w14:paraId="28FE871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warunkiem demokracji</w:t>
            </w:r>
          </w:p>
          <w:p w14:paraId="47923FEC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50AB1926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4EF0AD88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023E1560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6A49F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rozróżnia bierne i czynne prawo wyborcze</w:t>
            </w:r>
          </w:p>
          <w:p w14:paraId="39A629B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- wskazuje organy państwa wyłaniane w wyborach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AA2E0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określa warunki korzystania z biernego i czynnego prawa wyborczego</w:t>
            </w:r>
          </w:p>
          <w:p w14:paraId="656745F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wyjaśnia, jakie znaczenie mają wybory </w:t>
            </w:r>
            <w:r>
              <w:rPr>
                <w:rFonts w:ascii="TimesNewRomanPSMT" w:hAnsi="TimesNewRomanPSMT"/>
                <w:sz w:val="18"/>
              </w:rPr>
              <w:t>w systemie demokratycznym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3DF5C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proofErr w:type="gramStart"/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 wyodrębnia</w:t>
            </w:r>
            <w:proofErr w:type="gramEnd"/>
            <w:r>
              <w:rPr>
                <w:rFonts w:ascii="TimesNewRomanPSMT" w:hAnsi="TimesNewRomanPSMT"/>
                <w:sz w:val="18"/>
              </w:rPr>
              <w:t xml:space="preserve"> etapy procesu wyborczego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CA2F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argumentuje na rzecz świadomego udziału w głosowaniu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4AFB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porównuje proporcjonalny i większościowy system wyborczy</w:t>
            </w:r>
          </w:p>
        </w:tc>
      </w:tr>
      <w:tr w:rsidR="00406509" w14:paraId="5DDB98B0" w14:textId="77777777">
        <w:trPr>
          <w:trHeight w:val="1080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C09FC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18. W kręgu prawa cywilnego</w:t>
            </w:r>
          </w:p>
          <w:p w14:paraId="1387FC2A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i rodzinnego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19539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</w:t>
            </w:r>
            <w:r>
              <w:rPr>
                <w:rFonts w:ascii="TimesNewRomanPSMT" w:hAnsi="TimesNewRomanPSMT"/>
                <w:sz w:val="18"/>
              </w:rPr>
              <w:t>określa różnicę między zdolnością prawną a zdolnością do czynności prawnej i jej ograniczenia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68DD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wyjaśnia, na czym polega</w:t>
            </w:r>
          </w:p>
          <w:p w14:paraId="791D2F2C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władza rodzicielska</w:t>
            </w:r>
          </w:p>
          <w:p w14:paraId="6FA7ADA9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omawia zasady, warunki i skutki zawarcia małżeństwa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E14EC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 różnicę między dziedziczeniem testamentowym a dzie</w:t>
            </w:r>
            <w:r>
              <w:rPr>
                <w:rFonts w:ascii="TimesNewRomanPSMT" w:hAnsi="TimesNewRomanPSMT"/>
                <w:sz w:val="18"/>
              </w:rPr>
              <w:t>dziczeniem ustawowym</w:t>
            </w:r>
          </w:p>
          <w:p w14:paraId="2D35643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proofErr w:type="gramStart"/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 omawia</w:t>
            </w:r>
            <w:proofErr w:type="gramEnd"/>
            <w:r>
              <w:rPr>
                <w:rFonts w:ascii="TimesNewRomanPSMT" w:hAnsi="TimesNewRomanPSMT"/>
                <w:sz w:val="18"/>
              </w:rPr>
              <w:t xml:space="preserve"> zasady stosunku prawnego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1B06C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omawia zasady zobowiązań w prawie cywilnym</w:t>
            </w:r>
          </w:p>
          <w:p w14:paraId="7CEA0C6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rozróżnia pokrewieństwo i powinowactwo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ABE49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posługując się wybranymi</w:t>
            </w:r>
          </w:p>
          <w:p w14:paraId="7D92BB8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przykładami i odwołując się do</w:t>
            </w:r>
          </w:p>
          <w:p w14:paraId="01310F0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przepisów prawnych, omawia</w:t>
            </w:r>
          </w:p>
          <w:p w14:paraId="521B138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relacje między rodzicami</w:t>
            </w:r>
          </w:p>
          <w:p w14:paraId="73C8150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a </w:t>
            </w:r>
            <w:r>
              <w:rPr>
                <w:rFonts w:ascii="TimesNewRomanPSMT" w:hAnsi="TimesNewRomanPSMT"/>
                <w:sz w:val="18"/>
              </w:rPr>
              <w:t>dziećmi</w:t>
            </w:r>
          </w:p>
        </w:tc>
      </w:tr>
      <w:tr w:rsidR="00406509" w14:paraId="1F3D5158" w14:textId="77777777">
        <w:trPr>
          <w:trHeight w:val="1080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D8E8C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19. Nasze prawa i wolności </w:t>
            </w:r>
          </w:p>
          <w:p w14:paraId="07D27F4F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316AA323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13A59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określa cechy praw człowieka i obywatela</w:t>
            </w:r>
          </w:p>
          <w:p w14:paraId="412850DB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- korzystając z Konstytucji RP wymienia przykładowe prawa i wolności obywatelskie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2CA4F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podaje przykład łamania praw człowieka i obywatela</w:t>
            </w:r>
          </w:p>
          <w:p w14:paraId="60080FF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</w:t>
            </w:r>
            <w:r>
              <w:rPr>
                <w:rFonts w:ascii="TimesNewRomanPSMT" w:hAnsi="TimesNewRomanPSMT"/>
                <w:sz w:val="18"/>
              </w:rPr>
              <w:t xml:space="preserve">analizuje fragment Powszechnej deklaracji praw człowieka 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A4E3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odwołując się do wybranego</w:t>
            </w:r>
          </w:p>
          <w:p w14:paraId="1376ECF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przykładu, omawia łamanie</w:t>
            </w:r>
          </w:p>
          <w:p w14:paraId="546CC16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praw człowieka i obywatela 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45CD0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rozróżnia trzy sfery osobiste, polityczne oraz ekonomiczne, socjalne i kulturalne praw człowieka i obywatela w Po</w:t>
            </w:r>
            <w:r>
              <w:rPr>
                <w:rFonts w:ascii="TimesNewRomanPSMT" w:hAnsi="TimesNewRomanPSMT"/>
                <w:sz w:val="18"/>
              </w:rPr>
              <w:t>lsce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993F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podejmuje dyskusję na temat</w:t>
            </w:r>
          </w:p>
          <w:p w14:paraId="5C9D7278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łamania praw człowieka i obywatela</w:t>
            </w:r>
          </w:p>
        </w:tc>
      </w:tr>
      <w:tr w:rsidR="00406509" w14:paraId="0C4928F5" w14:textId="77777777">
        <w:trPr>
          <w:trHeight w:val="1697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6581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20. Jak chronić nasze prawa? </w:t>
            </w:r>
          </w:p>
          <w:p w14:paraId="074E29E6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A113A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rozróżnia sądowe i niesądowe</w:t>
            </w:r>
          </w:p>
          <w:p w14:paraId="0363D283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organy w Polsce chroniące praw</w:t>
            </w:r>
          </w:p>
          <w:p w14:paraId="278FA968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człowieka i obywatela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2CF00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identyfikuje różne organy władzy publicznej stojące na straży praw </w:t>
            </w:r>
            <w:r>
              <w:rPr>
                <w:rFonts w:ascii="TimesNewRomanPSMT" w:hAnsi="TimesNewRomanPSMT"/>
                <w:sz w:val="18"/>
              </w:rPr>
              <w:t>człowieka i obywatela</w:t>
            </w:r>
          </w:p>
          <w:p w14:paraId="62AC132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podaje przykłady organizacji pozarządowych</w:t>
            </w:r>
          </w:p>
          <w:p w14:paraId="7E66DAE9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stojących na straży praw człowieka i obywatela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91B7F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proofErr w:type="gramStart"/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 omawia</w:t>
            </w:r>
            <w:proofErr w:type="gramEnd"/>
            <w:r>
              <w:rPr>
                <w:rFonts w:ascii="TimesNewRomanPSMT" w:hAnsi="TimesNewRomanPSMT"/>
                <w:sz w:val="18"/>
              </w:rPr>
              <w:t xml:space="preserve"> rolę i kompetencje Rzecznika</w:t>
            </w:r>
          </w:p>
          <w:p w14:paraId="6BD0C4E8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Praw Obywatelskich</w:t>
            </w:r>
          </w:p>
          <w:p w14:paraId="431ED617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81A15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wyjaśnia, czym zajmuje się Europejski Trybunał Praw Człowieka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D566A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- omawia procedury </w:t>
            </w:r>
            <w:r>
              <w:rPr>
                <w:rFonts w:ascii="TimesNewRomanPSMT" w:hAnsi="TimesNewRomanPSMT"/>
                <w:sz w:val="18"/>
              </w:rPr>
              <w:t>zgłaszania skargi do Europejskiego Trybunału Praw Człowieka</w:t>
            </w:r>
          </w:p>
        </w:tc>
      </w:tr>
      <w:tr w:rsidR="00406509" w14:paraId="34426DA3" w14:textId="77777777">
        <w:trPr>
          <w:trHeight w:val="394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4E9A3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21. Pracować, ale w jakiej formie? 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3F99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identyfikuje rodzaje umów o pracę, ich wady i zalety</w:t>
            </w:r>
          </w:p>
          <w:p w14:paraId="0C3BEF5A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rozróżnia praktyki, staż i wolontariat jako formy nabywania umiejętności zawodowych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A1813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proofErr w:type="gramStart"/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 identyfikuje</w:t>
            </w:r>
            <w:proofErr w:type="gramEnd"/>
          </w:p>
          <w:p w14:paraId="055A7C9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prawa i obowiązki pracowników</w:t>
            </w:r>
          </w:p>
          <w:p w14:paraId="7B69EDF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oraz pracodawców wynikające</w:t>
            </w:r>
          </w:p>
          <w:p w14:paraId="29DBF3E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z umowy o pracę</w:t>
            </w:r>
          </w:p>
          <w:p w14:paraId="7628BB75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wymienia warunki, które powinna</w:t>
            </w:r>
          </w:p>
          <w:p w14:paraId="13AC6FD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spełniać osoba młodociana</w:t>
            </w:r>
          </w:p>
          <w:p w14:paraId="594B5A2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zatrudniona na podstawie</w:t>
            </w:r>
          </w:p>
          <w:p w14:paraId="3ACE7C3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lastRenderedPageBreak/>
              <w:t>umowy w celu przygotowania</w:t>
            </w:r>
          </w:p>
          <w:p w14:paraId="1E7FE8A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zawodowego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C272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lastRenderedPageBreak/>
              <w:t>▪</w:t>
            </w:r>
            <w:r>
              <w:rPr>
                <w:rFonts w:ascii="TimesNewRomanPSMT" w:hAnsi="TimesNewRomanPSMT"/>
                <w:sz w:val="18"/>
              </w:rPr>
              <w:t xml:space="preserve"> porównuje prawa i obowiązki pracowników oraz pracodawców </w:t>
            </w:r>
            <w:r>
              <w:rPr>
                <w:rFonts w:ascii="TimesNewRomanPSMT" w:hAnsi="TimesNewRomanPSMT"/>
                <w:sz w:val="18"/>
              </w:rPr>
              <w:t>wynikające z umowy o dzieło i z umowy zlecenie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5F12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wyjaśnia, czym zajmuje się Państwowa Inspekcja Pracy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07E8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wyjaśnia, na czym polega obustronna ochrona praw w relacjach pracodawca-pracownik</w:t>
            </w:r>
          </w:p>
        </w:tc>
      </w:tr>
      <w:tr w:rsidR="00406509" w14:paraId="73F08AEA" w14:textId="77777777">
        <w:trPr>
          <w:trHeight w:val="394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4DE5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lastRenderedPageBreak/>
              <w:t xml:space="preserve">22. Zagrożenia i obrona demokracji </w:t>
            </w:r>
          </w:p>
          <w:p w14:paraId="65822DBB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4E214A75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6E323714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1777EC89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6EB9F765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4BD4C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identyfikuje korupcję i </w:t>
            </w:r>
            <w:r>
              <w:rPr>
                <w:rFonts w:ascii="TimesNewRomanPSMT" w:hAnsi="TimesNewRomanPSMT"/>
                <w:sz w:val="18"/>
              </w:rPr>
              <w:t>nepotyzm jako zagrożenie demokracji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F041F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wyjaśnia, dlaczego populizm może zagrażać demokracji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DE85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wyjaśnia, na czym polega zjawisko </w:t>
            </w:r>
            <w:proofErr w:type="spellStart"/>
            <w:r>
              <w:rPr>
                <w:rFonts w:ascii="TimesNewRomanPSMT" w:hAnsi="TimesNewRomanPSMT"/>
                <w:sz w:val="18"/>
              </w:rPr>
              <w:t>klientyzmu</w:t>
            </w:r>
            <w:proofErr w:type="spellEnd"/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610B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podaje przykłady inicjatyw, które przeciwdziałają zagrożeniom demokracji</w:t>
            </w:r>
          </w:p>
          <w:p w14:paraId="7BFD0E0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odwołując się do wybranych przykładów, ws</w:t>
            </w:r>
            <w:r>
              <w:rPr>
                <w:rFonts w:ascii="TimesNewRomanPSMT" w:hAnsi="TimesNewRomanPSMT"/>
                <w:sz w:val="18"/>
              </w:rPr>
              <w:t>kazuje, w jaki</w:t>
            </w:r>
          </w:p>
          <w:p w14:paraId="36102DE9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sposób media mogą zagrażać demokracji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E17CA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formułuje własną opinię w tej</w:t>
            </w:r>
          </w:p>
          <w:p w14:paraId="08A3798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sprawie</w:t>
            </w:r>
          </w:p>
          <w:p w14:paraId="027ACF8C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poddaje dyskusji swoją opinię</w:t>
            </w:r>
          </w:p>
          <w:p w14:paraId="3C78DF9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dotyczącą obrony demokracji</w:t>
            </w:r>
          </w:p>
          <w:p w14:paraId="042754E5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</w:tr>
      <w:tr w:rsidR="00406509" w14:paraId="50D8DECA" w14:textId="77777777">
        <w:trPr>
          <w:trHeight w:val="394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E15E9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23. Wobec funkcjonariuszy oraz</w:t>
            </w:r>
          </w:p>
          <w:p w14:paraId="2D6B82DB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instytucji publicznych</w:t>
            </w:r>
          </w:p>
          <w:p w14:paraId="1087E51A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  <w:p w14:paraId="486CCC3E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4506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identyfikuje przedstawicieli </w:t>
            </w:r>
            <w:r>
              <w:rPr>
                <w:rFonts w:ascii="TimesNewRomanPSMT" w:hAnsi="TimesNewRomanPSMT"/>
                <w:sz w:val="18"/>
              </w:rPr>
              <w:t>funkcjonariuszy publicznych</w:t>
            </w:r>
          </w:p>
          <w:p w14:paraId="21ED25C9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określa, czym zajmuje się</w:t>
            </w:r>
          </w:p>
          <w:p w14:paraId="21CF437F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prokuratura</w:t>
            </w:r>
          </w:p>
          <w:p w14:paraId="275D30CF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64E97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wskazuje własne prawa i obowiązki w relacjach z policją</w:t>
            </w:r>
          </w:p>
          <w:p w14:paraId="01A1C516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wymienia przykładowe uprawnienia policji wobec osób</w:t>
            </w:r>
          </w:p>
          <w:p w14:paraId="3612826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fizycznych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0B594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- podaje przykłady spraw, których można dochodzić przed sądem </w:t>
            </w:r>
            <w:r>
              <w:rPr>
                <w:rFonts w:ascii="TimesNewRomanPSMT" w:hAnsi="TimesNewRomanPSMT"/>
                <w:sz w:val="18"/>
              </w:rPr>
              <w:t>cywilnym</w:t>
            </w:r>
          </w:p>
          <w:p w14:paraId="24E2DB1D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CB430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określa główne obowiązki</w:t>
            </w:r>
          </w:p>
          <w:p w14:paraId="5299684F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świadka, pokrzywdzonego oraz podejrzanego w relacji z prokuratorem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3747E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- identyfikuje rodzaje sądowych postępowań cywilnych</w:t>
            </w:r>
          </w:p>
        </w:tc>
      </w:tr>
      <w:tr w:rsidR="00406509" w14:paraId="45199D6C" w14:textId="77777777">
        <w:trPr>
          <w:trHeight w:val="394"/>
        </w:trPr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7BD2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 xml:space="preserve">24. W kręgu prawa karnego </w:t>
            </w:r>
          </w:p>
          <w:p w14:paraId="174F7B59" w14:textId="77777777" w:rsidR="00406509" w:rsidRDefault="00406509">
            <w:pPr>
              <w:rPr>
                <w:rFonts w:ascii="TimesNewRomanPSMT" w:hAnsi="TimesNewRomanPSMT" w:hint="eastAsia"/>
                <w:sz w:val="18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BCF6F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proofErr w:type="gramStart"/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 rozróżnia</w:t>
            </w:r>
            <w:proofErr w:type="gramEnd"/>
            <w:r>
              <w:rPr>
                <w:rFonts w:ascii="TimesNewRomanPSMT" w:hAnsi="TimesNewRomanPSMT"/>
                <w:sz w:val="18"/>
              </w:rPr>
              <w:t xml:space="preserve"> kategorie czynów, które są zagrożone karą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1C7D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proofErr w:type="gramStart"/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 rozróżnia</w:t>
            </w:r>
            <w:proofErr w:type="gramEnd"/>
            <w:r>
              <w:rPr>
                <w:rFonts w:ascii="TimesNewRomanPSMT" w:hAnsi="TimesNewRomanPSMT"/>
                <w:sz w:val="18"/>
              </w:rPr>
              <w:t xml:space="preserve"> or</w:t>
            </w:r>
            <w:r>
              <w:rPr>
                <w:rFonts w:ascii="TimesNewRomanPSMT" w:hAnsi="TimesNewRomanPSMT"/>
                <w:sz w:val="18"/>
              </w:rPr>
              <w:t>az podaje przykłady kar i środków karnych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B656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identyfikuje przykładowe sytuacje, które zwalniają z odpowiedzialności karnej</w:t>
            </w:r>
          </w:p>
          <w:p w14:paraId="455D2CE1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porównuje zasady odpowiedzialności karnej zawarte w Kodeksie wykroczeń oraz w Kodeksie karnym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F8A2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proofErr w:type="gramStart"/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 identyfikuje</w:t>
            </w:r>
            <w:proofErr w:type="gramEnd"/>
          </w:p>
          <w:p w14:paraId="77B2FE62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uczestników procesu ka</w:t>
            </w:r>
            <w:r>
              <w:rPr>
                <w:rFonts w:ascii="TimesNewRomanPSMT" w:hAnsi="TimesNewRomanPSMT"/>
                <w:sz w:val="18"/>
              </w:rPr>
              <w:t>rnego</w:t>
            </w:r>
          </w:p>
          <w:p w14:paraId="28D5F31C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▪</w:t>
            </w:r>
            <w:r>
              <w:rPr>
                <w:rFonts w:ascii="TimesNewRomanPSMT" w:hAnsi="TimesNewRomanPSMT"/>
                <w:sz w:val="18"/>
              </w:rPr>
              <w:t xml:space="preserve"> rozróżnia przestępstwa </w:t>
            </w:r>
            <w:proofErr w:type="spellStart"/>
            <w:r>
              <w:rPr>
                <w:rFonts w:ascii="TimesNewRomanPSMT" w:hAnsi="TimesNewRomanPSMT"/>
                <w:sz w:val="18"/>
              </w:rPr>
              <w:t>ściganez</w:t>
            </w:r>
            <w:proofErr w:type="spellEnd"/>
            <w:r>
              <w:rPr>
                <w:rFonts w:ascii="TimesNewRomanPSMT" w:hAnsi="TimesNewRomanPSMT"/>
                <w:sz w:val="18"/>
              </w:rPr>
              <w:t xml:space="preserve"> urzędu oraz ścigane na wniosek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C363D" w14:textId="77777777" w:rsidR="00406509" w:rsidRDefault="00550055">
            <w:pPr>
              <w:rPr>
                <w:rFonts w:ascii="TimesNewRomanPSMT" w:hAnsi="TimesNewRomanPSMT" w:hint="eastAsia"/>
                <w:sz w:val="18"/>
              </w:rPr>
            </w:pPr>
            <w:r>
              <w:rPr>
                <w:rFonts w:ascii="TimesNewRomanPSMT" w:hAnsi="TimesNewRomanPSMT"/>
                <w:sz w:val="18"/>
              </w:rPr>
              <w:t>- omawia zasady i następstwa procesu karnego</w:t>
            </w:r>
          </w:p>
        </w:tc>
      </w:tr>
      <w:tr w:rsidR="00406509" w14:paraId="72DBFD31" w14:textId="77777777">
        <w:tc>
          <w:tcPr>
            <w:tcW w:w="1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91B38" w14:textId="77777777" w:rsidR="00406509" w:rsidRDefault="00550055">
            <w:pPr>
              <w:pStyle w:val="normal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Zajęcia zadaniowe, projektowe i w ramach działań obywatelskich w obrębie wszystkich działów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5E4CD" w14:textId="77777777" w:rsidR="00406509" w:rsidRDefault="00550055">
            <w:pPr>
              <w:pStyle w:val="normal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Podejmowanie starań w celu wykonania typowych </w:t>
            </w:r>
            <w:r>
              <w:rPr>
                <w:rFonts w:ascii="Times New Roman" w:hAnsi="Times New Roman"/>
                <w:sz w:val="18"/>
                <w:szCs w:val="18"/>
              </w:rPr>
              <w:t>prac, z pomocą nauczyciela lub lidera grupy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73B76" w14:textId="77777777" w:rsidR="00406509" w:rsidRDefault="00550055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Samodzielne wykonanie typowych zadań, wskazanych przez nauczyciela lub lidera grupy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0BDB6" w14:textId="77777777" w:rsidR="00406509" w:rsidRDefault="00550055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Kreatywność w wykonywaniu zadań, samodzielność, sumienność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AD087" w14:textId="77777777" w:rsidR="00406509" w:rsidRDefault="00550055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Pełnienie funkcji lidera grupy lub duże zaangażowanie w wykonywanie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zadań, inicjowanie działań</w:t>
            </w: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E839E" w14:textId="77777777" w:rsidR="00406509" w:rsidRDefault="00550055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Wprowadzanie innowacyjnych rozwiązań, bardzo duży wkład w końcowy efekt pracy grupy, charyzma w pełnieniu funkcji lidera grupy zadaniowej</w:t>
            </w:r>
          </w:p>
        </w:tc>
      </w:tr>
    </w:tbl>
    <w:p w14:paraId="7C8D34DD" w14:textId="77777777" w:rsidR="00406509" w:rsidRDefault="00406509">
      <w:pPr>
        <w:rPr>
          <w:rFonts w:ascii="TimesNewRomanPSMT" w:hAnsi="TimesNewRomanPSMT" w:hint="eastAsia"/>
          <w:sz w:val="18"/>
        </w:rPr>
      </w:pPr>
    </w:p>
    <w:p w14:paraId="5031EA0F" w14:textId="77777777" w:rsidR="00406509" w:rsidRDefault="00550055">
      <w:pPr>
        <w:pStyle w:val="normal1"/>
        <w:rPr>
          <w:i/>
          <w:iCs/>
        </w:rPr>
      </w:pPr>
      <w:r>
        <w:rPr>
          <w:i/>
          <w:iCs/>
        </w:rPr>
        <w:t xml:space="preserve">W przypadku wymagań na ocenę celującą dla uzyskania oceny wystarczające jest wypełnienie </w:t>
      </w:r>
      <w:r>
        <w:rPr>
          <w:i/>
          <w:iCs/>
        </w:rPr>
        <w:t>wybranych kryteriów. Ocenę celującą uzyskuje również uczeń, który uzyskał najwyższą nagrodę w konkursie regionalnym lub nagradzane miejsce w konkursie ogólnopolskim, realizowanym w ramach przedmiotu.</w:t>
      </w:r>
    </w:p>
    <w:p w14:paraId="25ED3152" w14:textId="77777777" w:rsidR="00406509" w:rsidRDefault="00550055">
      <w:pPr>
        <w:pStyle w:val="normal1"/>
        <w:rPr>
          <w:b/>
        </w:rPr>
      </w:pPr>
      <w:r>
        <w:rPr>
          <w:b/>
        </w:rPr>
        <w:t>Dostosowania dla uczniów ze SPE:</w:t>
      </w:r>
    </w:p>
    <w:p w14:paraId="1789D189" w14:textId="77777777" w:rsidR="00406509" w:rsidRDefault="00550055">
      <w:pPr>
        <w:pStyle w:val="normal1"/>
      </w:pPr>
      <w:r>
        <w:t>Uczniowie ze specjalnym</w:t>
      </w:r>
      <w:r>
        <w:t>i potrzebami edukacyjnymi (SPE) wymagają dostosowania do ich indywidualnych możliwości, przy jednoczesnym zachowaniu</w:t>
      </w:r>
      <w:r>
        <w:rPr>
          <w:b/>
        </w:rPr>
        <w:t xml:space="preserve"> </w:t>
      </w:r>
      <w:r>
        <w:t xml:space="preserve">pełnej realizacji podstawy programowej. Nie przewiduje się możliwości jej pomijania lub usunięcia jej elementów. </w:t>
      </w:r>
    </w:p>
    <w:p w14:paraId="1D3837D5" w14:textId="77777777" w:rsidR="00406509" w:rsidRDefault="00550055">
      <w:pPr>
        <w:pStyle w:val="normal1"/>
      </w:pPr>
      <w:proofErr w:type="gramStart"/>
      <w:r>
        <w:t>Dostosowanie  powinno</w:t>
      </w:r>
      <w:proofErr w:type="gramEnd"/>
      <w:r>
        <w:t xml:space="preserve"> dot</w:t>
      </w:r>
      <w:r>
        <w:t xml:space="preserve">yczyć przede wszystkim modyfikacji form i metod nauczania oraz sprawdzania wiedzy, tak aby były one adekwatne do możliwości ucznia ( określonych w opinii lub orzeczeniu ), np. dostosowujemy: </w:t>
      </w:r>
    </w:p>
    <w:p w14:paraId="10C2AFA9" w14:textId="77777777" w:rsidR="00406509" w:rsidRDefault="00550055">
      <w:pPr>
        <w:pStyle w:val="normal1"/>
      </w:pPr>
      <w:r>
        <w:lastRenderedPageBreak/>
        <w:t>- zasady, metody, środki, pomoce, karty pracy, komunikaty, zakre</w:t>
      </w:r>
      <w:r>
        <w:t>s pomocy nauczyciela, dzielenie pracy na małe partie, odwołania do</w:t>
      </w:r>
    </w:p>
    <w:p w14:paraId="17D9B299" w14:textId="77777777" w:rsidR="00406509" w:rsidRDefault="00550055">
      <w:pPr>
        <w:pStyle w:val="normal1"/>
      </w:pPr>
      <w:r>
        <w:t xml:space="preserve"> konkretów</w:t>
      </w:r>
    </w:p>
    <w:p w14:paraId="15A56702" w14:textId="77777777" w:rsidR="00406509" w:rsidRDefault="00550055">
      <w:pPr>
        <w:pStyle w:val="normal1"/>
      </w:pPr>
      <w:r>
        <w:t>- warunki fizyczne – miejsce w sali, oświetlenie, dodatkowy sprzęt, podręcznik z dostosowaniami</w:t>
      </w:r>
    </w:p>
    <w:p w14:paraId="056D7FE3" w14:textId="77777777" w:rsidR="00406509" w:rsidRDefault="00550055">
      <w:pPr>
        <w:pStyle w:val="normal1"/>
      </w:pPr>
      <w:r>
        <w:t>- sposób sprawdzania wiedzy – szczegółowa informacja zwrotna, wydłużenie czasu, ty</w:t>
      </w:r>
      <w:r>
        <w:t>lko określone formy sprawdzania wiedzy, struktura zadań (np. odpowiedź ustna, test wyboru zamiast odpowiedzi pisemnej)</w:t>
      </w:r>
    </w:p>
    <w:p w14:paraId="54CFD7DE" w14:textId="77777777" w:rsidR="00406509" w:rsidRDefault="00550055">
      <w:pPr>
        <w:pStyle w:val="normal1"/>
        <w:rPr>
          <w:b/>
        </w:rPr>
      </w:pPr>
      <w:r>
        <w:rPr>
          <w:b/>
        </w:rPr>
        <w:t xml:space="preserve">Dostosowania dla uczniów z Ukrainy </w:t>
      </w:r>
      <w:r>
        <w:rPr>
          <w:b/>
          <w:color w:val="FF0000"/>
        </w:rPr>
        <w:t>i innych obcokrajowców</w:t>
      </w:r>
      <w:r>
        <w:rPr>
          <w:b/>
        </w:rPr>
        <w:t>:</w:t>
      </w:r>
    </w:p>
    <w:p w14:paraId="44994686" w14:textId="77777777" w:rsidR="00406509" w:rsidRDefault="00550055">
      <w:pPr>
        <w:pStyle w:val="normal1"/>
      </w:pPr>
      <w:r>
        <w:t xml:space="preserve">Uczniowie pochodzący z Ukrainy </w:t>
      </w:r>
      <w:r>
        <w:rPr>
          <w:color w:val="FF0000"/>
        </w:rPr>
        <w:t xml:space="preserve">i z innych </w:t>
      </w:r>
      <w:proofErr w:type="gramStart"/>
      <w:r>
        <w:rPr>
          <w:color w:val="FF0000"/>
        </w:rPr>
        <w:t>państw</w:t>
      </w:r>
      <w:r>
        <w:t xml:space="preserve">  wymagają</w:t>
      </w:r>
      <w:proofErr w:type="gramEnd"/>
      <w:r>
        <w:t xml:space="preserve"> dostosowania do ich</w:t>
      </w:r>
      <w:r>
        <w:t xml:space="preserve"> indywidualnych możliwości, przy jednoczesnym zachowaniu pełnej realizacji podstawy programowej.</w:t>
      </w:r>
    </w:p>
    <w:p w14:paraId="47336B94" w14:textId="77777777" w:rsidR="00406509" w:rsidRDefault="00550055">
      <w:pPr>
        <w:pStyle w:val="normal1"/>
      </w:pPr>
      <w:r>
        <w:t xml:space="preserve">W odniesieniu do tych uczniów nauczyciel bierze pod uwagę stopień opanowania języka polskiego oraz sposób i tempo przyswajania wiedzy i umiejętności z zakresu </w:t>
      </w:r>
      <w:r>
        <w:t xml:space="preserve">podstawy programowej języka polskiego. W wymaganiach na poszczególne stopnie nauczyciel uwzględnia większy margines dla braku precyzji wypowiedzi i </w:t>
      </w:r>
      <w:proofErr w:type="gramStart"/>
      <w:r>
        <w:t>usterek  językowych</w:t>
      </w:r>
      <w:proofErr w:type="gramEnd"/>
      <w:r>
        <w:t xml:space="preserve">. </w:t>
      </w:r>
    </w:p>
    <w:sectPr w:rsidR="00406509">
      <w:pgSz w:w="16838" w:h="11906" w:orient="landscape"/>
      <w:pgMar w:top="1134" w:right="1134" w:bottom="1134" w:left="1134" w:header="0" w:footer="0" w:gutter="0"/>
      <w:cols w:space="708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NSimSun"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EE"/>
    <w:family w:val="roman"/>
    <w:pitch w:val="variable"/>
  </w:font>
  <w:font w:name="TimesNewRomanPS-BoldMT">
    <w:altName w:val="Times New Roman"/>
    <w:charset w:val="EE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autoHyphenation/>
  <w:hyphenationZone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09"/>
    <w:rsid w:val="00406509"/>
    <w:rsid w:val="0055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FA865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ormal1">
    <w:name w:val="normal1"/>
    <w:qFormat/>
    <w:pPr>
      <w:spacing w:after="160" w:line="259" w:lineRule="auto"/>
    </w:pPr>
    <w:rPr>
      <w:rFonts w:ascii="Calibri" w:eastAsia="Calibri" w:hAnsi="Calibri" w:cs="Calibri"/>
      <w:kern w:val="0"/>
      <w:sz w:val="22"/>
      <w:szCs w:val="22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2157</Words>
  <Characters>12944</Characters>
  <Application>Microsoft Macintosh Word</Application>
  <DocSecurity>0</DocSecurity>
  <Lines>107</Lines>
  <Paragraphs>30</Paragraphs>
  <ScaleCrop>false</ScaleCrop>
  <LinksUpToDate>false</LinksUpToDate>
  <CharactersWithSpaces>15071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Użytkownik Microsoft Office</cp:lastModifiedBy>
  <cp:revision>2</cp:revision>
  <dcterms:created xsi:type="dcterms:W3CDTF">2025-09-04T05:24:00Z</dcterms:created>
  <dcterms:modified xsi:type="dcterms:W3CDTF">2025-09-04T05:24:00Z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2025-09-01T12:45:25Z</dcterms:created>
  <dc:creator/>
  <dc:description/>
  <dc:language>pl-PL</dc:language>
  <cp:lastModifiedBy/>
  <dcterms:modified xsi:type="dcterms:W3CDTF">2025-09-01T16:49:02Z</dcterms:modified>
  <cp:revision>3</cp:revision>
  <dc:subject/>
  <dc:title/>
</cp:coreProperties>
</file>